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028" w:rsidRDefault="00E87559">
      <w:pPr>
        <w:spacing w:after="435" w:line="420" w:lineRule="atLeast"/>
        <w:rPr>
          <w:rFonts w:ascii="Georgia" w:eastAsia="Times New Roman" w:hAnsi="Georgia" w:cs="Times New Roman"/>
          <w:color w:val="00B050"/>
          <w:sz w:val="32"/>
          <w:szCs w:val="32"/>
          <w:lang w:eastAsia="es-AR"/>
        </w:rPr>
      </w:pPr>
      <w:bookmarkStart w:id="0" w:name="_GoBack"/>
      <w:bookmarkEnd w:id="0"/>
      <w:r>
        <w:rPr>
          <w:rFonts w:ascii="Georgia" w:eastAsia="Times New Roman" w:hAnsi="Georgia" w:cs="Times New Roman"/>
          <w:color w:val="00B050"/>
          <w:sz w:val="32"/>
          <w:szCs w:val="32"/>
          <w:lang w:eastAsia="es-AR"/>
        </w:rPr>
        <w:t>CARLOS IANNIZZOTTO, PRESIDENTE DE CONINAGRO</w:t>
      </w:r>
    </w:p>
    <w:p w:rsidR="00E66028" w:rsidRDefault="00E87559">
      <w:pPr>
        <w:spacing w:after="435" w:line="420" w:lineRule="atLeast"/>
        <w:jc w:val="center"/>
        <w:rPr>
          <w:rFonts w:ascii="Georgia" w:eastAsia="Times New Roman" w:hAnsi="Georgia" w:cs="Times New Roman"/>
          <w:color w:val="00B0F0"/>
          <w:sz w:val="40"/>
          <w:szCs w:val="40"/>
          <w:lang w:eastAsia="es-AR"/>
        </w:rPr>
      </w:pPr>
      <w:r>
        <w:rPr>
          <w:rFonts w:ascii="Georgia" w:eastAsia="Times New Roman" w:hAnsi="Georgia" w:cs="Times New Roman"/>
          <w:color w:val="00B0F0"/>
          <w:sz w:val="40"/>
          <w:szCs w:val="40"/>
          <w:lang w:eastAsia="es-AR"/>
        </w:rPr>
        <w:t>“La gran cosecha de trigo permitirá enfrentar las subas del gasoil y los impuestos”</w:t>
      </w:r>
    </w:p>
    <w:p w:rsidR="00E66028" w:rsidRDefault="00E66028">
      <w:pPr>
        <w:shd w:val="clear" w:color="auto" w:fill="FFFFFF"/>
        <w:spacing w:after="0" w:line="240" w:lineRule="atLeast"/>
        <w:rPr>
          <w:rFonts w:ascii="Calibri" w:eastAsia="Times New Roman" w:hAnsi="Calibri" w:cs="Times New Roman"/>
          <w:color w:val="000000"/>
          <w:sz w:val="24"/>
          <w:szCs w:val="24"/>
          <w:lang w:eastAsia="es-AR"/>
        </w:rPr>
      </w:pPr>
    </w:p>
    <w:p w:rsidR="00E66028" w:rsidRDefault="00E87559">
      <w:pPr>
        <w:shd w:val="clear" w:color="auto" w:fill="FFFFFF"/>
        <w:spacing w:after="0" w:line="240" w:lineRule="atLeast"/>
        <w:jc w:val="both"/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es-AR"/>
        </w:rPr>
        <w:t xml:space="preserve">El presidente de </w:t>
      </w:r>
      <w:r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es-AR"/>
        </w:rPr>
        <w:t>CONINAGRO, Carlos Iannizzotto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es-AR"/>
        </w:rPr>
        <w:t xml:space="preserve">, afirmó que </w:t>
      </w:r>
      <w:r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es-AR"/>
        </w:rPr>
        <w:t xml:space="preserve">la gran cosecha de trigo, que rondó las 18 millones de toneladas, </w:t>
      </w:r>
      <w:r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es-AR"/>
        </w:rPr>
        <w:t>permitirá a los productores de esas zonas enfrentar la fuerte suba de costos impulsados por el aumento del gasoil y los impuestos provinciales.</w:t>
      </w:r>
    </w:p>
    <w:p w:rsidR="00E66028" w:rsidRDefault="00E66028">
      <w:pPr>
        <w:shd w:val="clear" w:color="auto" w:fill="FFFFFF"/>
        <w:spacing w:after="0" w:line="240" w:lineRule="atLeast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es-AR"/>
        </w:rPr>
      </w:pPr>
    </w:p>
    <w:p w:rsidR="00E66028" w:rsidRDefault="00E87559">
      <w:pPr>
        <w:shd w:val="clear" w:color="auto" w:fill="FFFFFF"/>
        <w:spacing w:after="0" w:line="240" w:lineRule="atLeast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es-AR"/>
        </w:rPr>
      </w:pPr>
      <w:r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es-AR"/>
        </w:rPr>
        <w:t>“El campo hizo un gran esfuerzo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es-AR"/>
        </w:rPr>
        <w:t xml:space="preserve">. Consiguió una cosecha casi record, 18 millones de toneladas de trigo frente a 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es-AR"/>
        </w:rPr>
        <w:t>los 18,4 millones de la campaña anterior, a pesar de la menor superficie cultivada y los problemas generados por la sequía en la provincias del norte y enfermedades, en el Litoral”, destacó Iannizzotto.</w:t>
      </w:r>
    </w:p>
    <w:p w:rsidR="00E66028" w:rsidRDefault="00E66028">
      <w:pPr>
        <w:shd w:val="clear" w:color="auto" w:fill="FFFFFF"/>
        <w:spacing w:after="0" w:line="240" w:lineRule="atLeast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es-AR"/>
        </w:rPr>
      </w:pPr>
    </w:p>
    <w:p w:rsidR="00E66028" w:rsidRDefault="00E87559">
      <w:pPr>
        <w:shd w:val="clear" w:color="auto" w:fill="FFFFFF"/>
        <w:spacing w:after="0" w:line="240" w:lineRule="atLeast"/>
        <w:jc w:val="both"/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es-AR"/>
        </w:rPr>
        <w:t xml:space="preserve">Sin embargo, esta mayor producción </w:t>
      </w:r>
      <w:r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es-AR"/>
        </w:rPr>
        <w:t>no se traducirá e</w:t>
      </w:r>
      <w:r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es-AR"/>
        </w:rPr>
        <w:t>n una ganancia inmediata para el productor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es-AR"/>
        </w:rPr>
        <w:t xml:space="preserve"> ya que “deberá enfrentar el aumento del impuesto rural, el revalúo de las propiedades, y el incremento del gasoil”.</w:t>
      </w:r>
    </w:p>
    <w:p w:rsidR="00E66028" w:rsidRDefault="00E66028">
      <w:pPr>
        <w:shd w:val="clear" w:color="auto" w:fill="FFFFFF"/>
        <w:spacing w:after="0" w:line="240" w:lineRule="atLeast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es-AR"/>
        </w:rPr>
      </w:pPr>
    </w:p>
    <w:p w:rsidR="00E66028" w:rsidRDefault="00E87559">
      <w:pPr>
        <w:shd w:val="clear" w:color="auto" w:fill="FFFFFF"/>
        <w:spacing w:after="0" w:line="240" w:lineRule="atLeast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es-AR"/>
        </w:rPr>
      </w:pPr>
      <w:r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es-AR"/>
        </w:rPr>
        <w:t xml:space="preserve">“CONINAGRO calculó que los productores necesitarán entre 340 y 410 millones de dólares más para </w:t>
      </w:r>
      <w:r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es-AR"/>
        </w:rPr>
        <w:t>cubrir los costos tranqueras dentro y su transporte por las subas ya experimentadas en el gasoil más lo esperado en febrero”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es-AR"/>
        </w:rPr>
        <w:t xml:space="preserve"> puntualizó Iannizzotto. </w:t>
      </w:r>
    </w:p>
    <w:p w:rsidR="00E66028" w:rsidRDefault="00E66028">
      <w:pPr>
        <w:shd w:val="clear" w:color="auto" w:fill="FFFFFF"/>
        <w:spacing w:after="0" w:line="240" w:lineRule="atLeast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es-AR"/>
        </w:rPr>
      </w:pPr>
    </w:p>
    <w:p w:rsidR="00E66028" w:rsidRDefault="00E87559">
      <w:pPr>
        <w:shd w:val="clear" w:color="auto" w:fill="FFFFFF"/>
        <w:spacing w:after="0" w:line="240" w:lineRule="atLeast"/>
        <w:jc w:val="both"/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es-AR"/>
        </w:rPr>
        <w:t xml:space="preserve">Según proyecciones del </w:t>
      </w:r>
      <w:r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es-AR"/>
        </w:rPr>
        <w:t xml:space="preserve">Área de Economía 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es-AR"/>
        </w:rPr>
        <w:t xml:space="preserve">de la entidad, para la presente campaña </w:t>
      </w:r>
      <w:r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es-AR"/>
        </w:rPr>
        <w:t xml:space="preserve">la agricultura utilizará </w:t>
      </w:r>
      <w:r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es-AR"/>
        </w:rPr>
        <w:t>tranqueras adentro 1.034 millones de litros de gasoil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es-AR"/>
        </w:rPr>
        <w:t xml:space="preserve">. </w:t>
      </w:r>
    </w:p>
    <w:p w:rsidR="00E66028" w:rsidRDefault="00E66028">
      <w:pPr>
        <w:shd w:val="clear" w:color="auto" w:fill="FFFFFF"/>
        <w:spacing w:after="0" w:line="240" w:lineRule="atLeast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es-AR"/>
        </w:rPr>
      </w:pPr>
    </w:p>
    <w:p w:rsidR="00E66028" w:rsidRDefault="00E87559">
      <w:pPr>
        <w:shd w:val="clear" w:color="auto" w:fill="FFFFFF"/>
        <w:spacing w:after="0" w:line="240" w:lineRule="atLeast"/>
        <w:jc w:val="both"/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es-AR"/>
        </w:rPr>
        <w:t>A esto hay que sumarle el aumento en los tributos, principalmente de la provincia de Buenos Aires, por el revalúo fiscal y el aumento del Impuesto Inmobiliario. La Legislatura bonaerense aprobó a fin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es-AR"/>
        </w:rPr>
        <w:t xml:space="preserve">es del 2017 </w:t>
      </w:r>
      <w:r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es-AR"/>
        </w:rPr>
        <w:t>un incremento de la alícuota del 50%.</w:t>
      </w:r>
    </w:p>
    <w:p w:rsidR="00E66028" w:rsidRDefault="00E66028">
      <w:pPr>
        <w:shd w:val="clear" w:color="auto" w:fill="FFFFFF"/>
        <w:spacing w:after="0" w:line="240" w:lineRule="atLeast"/>
        <w:jc w:val="both"/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es-AR"/>
        </w:rPr>
      </w:pPr>
    </w:p>
    <w:p w:rsidR="00E66028" w:rsidRDefault="00E66028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es-AR"/>
        </w:rPr>
      </w:pPr>
    </w:p>
    <w:p w:rsidR="00E66028" w:rsidRDefault="00E87559">
      <w:pPr>
        <w:pStyle w:val="Ttulo2"/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Condición del Cultivo de Trigo</w:t>
      </w:r>
    </w:p>
    <w:p w:rsidR="00E66028" w:rsidRDefault="00E66028">
      <w:pPr>
        <w:jc w:val="both"/>
        <w:rPr>
          <w:rFonts w:ascii="Bookman Old Style" w:hAnsi="Bookman Old Style"/>
          <w:sz w:val="24"/>
          <w:szCs w:val="24"/>
        </w:rPr>
      </w:pPr>
    </w:p>
    <w:p w:rsidR="00E66028" w:rsidRDefault="00E87559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La Campaña 2017/18 tuvo menor </w:t>
      </w:r>
      <w:r>
        <w:rPr>
          <w:rFonts w:ascii="Bookman Old Style" w:hAnsi="Bookman Old Style"/>
          <w:b/>
          <w:sz w:val="24"/>
          <w:szCs w:val="24"/>
        </w:rPr>
        <w:t>área sembrada</w:t>
      </w:r>
      <w:r>
        <w:rPr>
          <w:rFonts w:ascii="Bookman Old Style" w:hAnsi="Bookman Old Style"/>
          <w:sz w:val="24"/>
          <w:szCs w:val="24"/>
        </w:rPr>
        <w:t xml:space="preserve"> que la campaña previa pero mayor que el promedio de las últimas cinco campañas. Es decir, continúa en </w:t>
      </w:r>
      <w:r>
        <w:rPr>
          <w:rFonts w:ascii="Bookman Old Style" w:hAnsi="Bookman Old Style"/>
          <w:b/>
          <w:sz w:val="24"/>
          <w:szCs w:val="24"/>
        </w:rPr>
        <w:t>valores altos</w:t>
      </w:r>
      <w:r>
        <w:rPr>
          <w:rFonts w:ascii="Bookman Old Style" w:hAnsi="Bookman Old Style"/>
          <w:sz w:val="24"/>
          <w:szCs w:val="24"/>
        </w:rPr>
        <w:t xml:space="preserve">. Lo mismo ocurre con la </w:t>
      </w:r>
      <w:r>
        <w:rPr>
          <w:rFonts w:ascii="Bookman Old Style" w:hAnsi="Bookman Old Style"/>
          <w:b/>
          <w:sz w:val="24"/>
          <w:szCs w:val="24"/>
        </w:rPr>
        <w:t>producción</w:t>
      </w:r>
      <w:r>
        <w:rPr>
          <w:rFonts w:ascii="Bookman Old Style" w:hAnsi="Bookman Old Style"/>
          <w:sz w:val="24"/>
          <w:szCs w:val="24"/>
        </w:rPr>
        <w:t xml:space="preserve">. Sin embargo, en  esta campaña </w:t>
      </w:r>
      <w:r>
        <w:rPr>
          <w:rFonts w:ascii="Bookman Old Style" w:hAnsi="Bookman Old Style"/>
          <w:b/>
          <w:sz w:val="24"/>
          <w:szCs w:val="24"/>
        </w:rPr>
        <w:t>las miradas se las lleva el rendimiento que fue más alto que en 2016/17 y mayor al promedio del último quinquenio</w:t>
      </w:r>
      <w:r>
        <w:rPr>
          <w:rFonts w:ascii="Bookman Old Style" w:hAnsi="Bookman Old Style"/>
          <w:sz w:val="24"/>
          <w:szCs w:val="24"/>
        </w:rPr>
        <w:t xml:space="preserve">.  </w:t>
      </w:r>
    </w:p>
    <w:p w:rsidR="00E66028" w:rsidRDefault="00E87559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Algunos inconvenientes que afectaron al cultivo son: los anegamientos pa</w:t>
      </w:r>
      <w:r>
        <w:rPr>
          <w:rFonts w:ascii="Bookman Old Style" w:hAnsi="Bookman Old Style"/>
          <w:sz w:val="24"/>
          <w:szCs w:val="24"/>
        </w:rPr>
        <w:t>ra los trigos tardíos de Buenos Aires que incidieron en el desarrollo vegetativo durante el invierno y comienzo de la primavera. En los casos de Entre Ríos y Santa Fe, el cultivo fue afectado por enfermedades, mientras que en el NOA y el NEA fueron alcanza</w:t>
      </w:r>
      <w:r>
        <w:rPr>
          <w:rFonts w:ascii="Bookman Old Style" w:hAnsi="Bookman Old Style"/>
          <w:sz w:val="24"/>
          <w:szCs w:val="24"/>
        </w:rPr>
        <w:t xml:space="preserve">dos por elevadas temperaturas y sequías en las etapas de llenado de grano. </w:t>
      </w:r>
    </w:p>
    <w:p w:rsidR="00E66028" w:rsidRDefault="00E87559">
      <w:pPr>
        <w:jc w:val="both"/>
        <w:rPr>
          <w:rFonts w:ascii="Bookman Old Style" w:hAnsi="Bookman Old Style"/>
          <w:sz w:val="24"/>
          <w:szCs w:val="24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4672965</wp:posOffset>
                </wp:positionH>
                <wp:positionV relativeFrom="paragraph">
                  <wp:posOffset>4137660</wp:posOffset>
                </wp:positionV>
                <wp:extent cx="1125220" cy="668020"/>
                <wp:effectExtent l="0" t="0" r="19050" b="19050"/>
                <wp:wrapNone/>
                <wp:docPr id="1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4640" cy="667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E66028" w:rsidRDefault="00E87559">
                            <w:pPr>
                              <w:pStyle w:val="Contenidodelmarco"/>
                              <w:jc w:val="center"/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Mejora la Calidad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Bookman Old Style" w:hAnsi="Bookman Old Style"/>
          <w:sz w:val="24"/>
          <w:szCs w:val="24"/>
        </w:rPr>
        <w:t>Respecto a la calidad, el trigo 2017/18 presenta mayor nivel de proteína y de gluten en grano que la campaña anterior, siendo de calidad “media”, y se ubica en</w:t>
      </w:r>
      <w:r>
        <w:rPr>
          <w:rFonts w:ascii="Bookman Old Style" w:hAnsi="Bookman Old Style"/>
          <w:sz w:val="24"/>
          <w:szCs w:val="24"/>
        </w:rPr>
        <w:t xml:space="preserve"> valores promedio a las últimas cinco campañas. Comparado con el promedio histórico, aún falta recuperar calidad.</w:t>
      </w:r>
    </w:p>
    <w:p w:rsidR="00E66028" w:rsidRDefault="00E66028">
      <w:pPr>
        <w:jc w:val="both"/>
        <w:rPr>
          <w:rFonts w:ascii="Bookman Old Style" w:hAnsi="Bookman Old Style"/>
          <w:sz w:val="24"/>
          <w:szCs w:val="24"/>
        </w:rPr>
      </w:pPr>
    </w:p>
    <w:tbl>
      <w:tblPr>
        <w:tblW w:w="7060" w:type="dxa"/>
        <w:tblInd w:w="-1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4" w:space="0" w:color="00000A"/>
          <w:insideH w:val="single" w:sz="8" w:space="0" w:color="00000A"/>
          <w:insideV w:val="single" w:sz="4" w:space="0" w:color="00000A"/>
        </w:tblBorders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2259"/>
        <w:gridCol w:w="1201"/>
        <w:gridCol w:w="1200"/>
        <w:gridCol w:w="1200"/>
        <w:gridCol w:w="1200"/>
      </w:tblGrid>
      <w:tr w:rsidR="00E66028">
        <w:trPr>
          <w:trHeight w:val="330"/>
        </w:trPr>
        <w:tc>
          <w:tcPr>
            <w:tcW w:w="22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000000" w:fill="2F75B5"/>
            <w:tcMar>
              <w:left w:w="50" w:type="dxa"/>
            </w:tcMar>
            <w:vAlign w:val="center"/>
          </w:tcPr>
          <w:p w:rsidR="00E66028" w:rsidRDefault="00E87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A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AR"/>
              </w:rPr>
              <w:t>Área (M has)</w:t>
            </w:r>
          </w:p>
        </w:tc>
        <w:tc>
          <w:tcPr>
            <w:tcW w:w="1201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2F75B5"/>
            <w:tcMar>
              <w:left w:w="65" w:type="dxa"/>
            </w:tcMar>
            <w:vAlign w:val="center"/>
          </w:tcPr>
          <w:p w:rsidR="00E66028" w:rsidRDefault="00E87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A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2F75B5"/>
            <w:vAlign w:val="center"/>
          </w:tcPr>
          <w:p w:rsidR="00E66028" w:rsidRDefault="00E87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A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E66028" w:rsidRDefault="00E6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E66028" w:rsidRDefault="00E66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E66028">
        <w:trPr>
          <w:trHeight w:val="315"/>
        </w:trPr>
        <w:tc>
          <w:tcPr>
            <w:tcW w:w="2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DDEBF7"/>
            <w:tcMar>
              <w:left w:w="50" w:type="dxa"/>
            </w:tcMar>
            <w:vAlign w:val="center"/>
          </w:tcPr>
          <w:p w:rsidR="00E66028" w:rsidRDefault="00E87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Prom. 5 Camp.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66028" w:rsidRDefault="00E87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4.561.197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E66028" w:rsidRDefault="00E87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30%</w:t>
            </w:r>
          </w:p>
        </w:tc>
        <w:tc>
          <w:tcPr>
            <w:tcW w:w="120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E66028" w:rsidRDefault="00E6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0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E66028" w:rsidRDefault="00E66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E66028">
        <w:trPr>
          <w:trHeight w:val="300"/>
        </w:trPr>
        <w:tc>
          <w:tcPr>
            <w:tcW w:w="2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DDEBF7"/>
            <w:tcMar>
              <w:left w:w="50" w:type="dxa"/>
            </w:tcMar>
            <w:vAlign w:val="center"/>
          </w:tcPr>
          <w:p w:rsidR="00E66028" w:rsidRDefault="00E87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2016/17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66028" w:rsidRDefault="00E87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6.363.615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E66028" w:rsidRDefault="00E87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-7%</w:t>
            </w:r>
          </w:p>
        </w:tc>
        <w:tc>
          <w:tcPr>
            <w:tcW w:w="120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E66028" w:rsidRDefault="00E87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noProof/>
                <w:color w:val="00000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allowOverlap="1" wp14:anchorId="21D1464A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116840</wp:posOffset>
                      </wp:positionV>
                      <wp:extent cx="2239645" cy="1315720"/>
                      <wp:effectExtent l="0" t="0" r="28575" b="19050"/>
                      <wp:wrapNone/>
                      <wp:docPr id="3" name="Rectángulo redondead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8840" cy="13150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E66028" w:rsidRDefault="00E87559">
                                  <w:pPr>
                                    <w:pStyle w:val="Contenidodelmarco"/>
                                    <w:jc w:val="center"/>
                                  </w:pPr>
                                  <w:r>
                                    <w:rPr>
                                      <w:b/>
                                      <w:color w:val="FFFFFF"/>
                                    </w:rPr>
                                    <w:t xml:space="preserve">Se mantuvo alta el área y la producción muy por encima que el </w:t>
                                  </w:r>
                                  <w:r>
                                    <w:rPr>
                                      <w:b/>
                                      <w:color w:val="FFFFFF"/>
                                    </w:rPr>
                                    <w:t>promedio histórico</w:t>
                                  </w:r>
                                </w:p>
                              </w:txbxContent>
                            </wps:txbx>
                            <wps:bodyPr anchor="ctr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</w:p>
        </w:tc>
        <w:tc>
          <w:tcPr>
            <w:tcW w:w="120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E66028" w:rsidRDefault="00E66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E66028">
        <w:trPr>
          <w:trHeight w:val="315"/>
        </w:trPr>
        <w:tc>
          <w:tcPr>
            <w:tcW w:w="2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9BC2E6"/>
            <w:tcMar>
              <w:left w:w="50" w:type="dxa"/>
            </w:tcMar>
            <w:vAlign w:val="center"/>
          </w:tcPr>
          <w:p w:rsidR="00E66028" w:rsidRDefault="00E87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2017/18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9BC2E6"/>
            <w:vAlign w:val="bottom"/>
          </w:tcPr>
          <w:p w:rsidR="00E66028" w:rsidRDefault="00E87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5.948.110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9BC2E6"/>
            <w:vAlign w:val="center"/>
          </w:tcPr>
          <w:p w:rsidR="00E66028" w:rsidRDefault="00E87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E66028" w:rsidRDefault="00E6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0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E66028" w:rsidRDefault="00E66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E66028">
        <w:trPr>
          <w:trHeight w:hRule="exact" w:val="23"/>
        </w:trPr>
        <w:tc>
          <w:tcPr>
            <w:tcW w:w="22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66028" w:rsidRDefault="00E66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201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E66028" w:rsidRDefault="00E66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E66028" w:rsidRDefault="00E66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E66028" w:rsidRDefault="00E66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E66028" w:rsidRDefault="00E66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E66028">
        <w:trPr>
          <w:trHeight w:val="330"/>
        </w:trPr>
        <w:tc>
          <w:tcPr>
            <w:tcW w:w="22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000000" w:fill="2F75B5"/>
            <w:tcMar>
              <w:left w:w="50" w:type="dxa"/>
            </w:tcMar>
            <w:vAlign w:val="center"/>
          </w:tcPr>
          <w:p w:rsidR="00E66028" w:rsidRDefault="00E875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A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AR"/>
              </w:rPr>
              <w:t>Producción (M tn)</w:t>
            </w:r>
          </w:p>
        </w:tc>
        <w:tc>
          <w:tcPr>
            <w:tcW w:w="1201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2F75B5"/>
            <w:tcMar>
              <w:left w:w="65" w:type="dxa"/>
            </w:tcMar>
            <w:vAlign w:val="center"/>
          </w:tcPr>
          <w:p w:rsidR="00E66028" w:rsidRDefault="00E87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A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2F75B5"/>
            <w:vAlign w:val="center"/>
          </w:tcPr>
          <w:p w:rsidR="00E66028" w:rsidRDefault="00E87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A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E66028" w:rsidRDefault="00E6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E66028" w:rsidRDefault="00E66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E66028">
        <w:trPr>
          <w:trHeight w:val="300"/>
        </w:trPr>
        <w:tc>
          <w:tcPr>
            <w:tcW w:w="2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DDEBF7"/>
            <w:tcMar>
              <w:left w:w="50" w:type="dxa"/>
            </w:tcMar>
            <w:vAlign w:val="center"/>
          </w:tcPr>
          <w:p w:rsidR="00E66028" w:rsidRDefault="00E87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Prom. 5 Camp.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66028" w:rsidRDefault="00E87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11.388.577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E66028" w:rsidRDefault="00E87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58%</w:t>
            </w:r>
          </w:p>
        </w:tc>
        <w:tc>
          <w:tcPr>
            <w:tcW w:w="120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E66028" w:rsidRDefault="00E6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0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E66028" w:rsidRDefault="00E66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E66028">
        <w:trPr>
          <w:trHeight w:val="315"/>
        </w:trPr>
        <w:tc>
          <w:tcPr>
            <w:tcW w:w="2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DDEBF7"/>
            <w:tcMar>
              <w:left w:w="50" w:type="dxa"/>
            </w:tcMar>
            <w:vAlign w:val="center"/>
          </w:tcPr>
          <w:p w:rsidR="00E66028" w:rsidRDefault="00E87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2016/17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66028" w:rsidRDefault="00E87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18.390.000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E66028" w:rsidRDefault="00E87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-2%</w:t>
            </w:r>
          </w:p>
        </w:tc>
        <w:tc>
          <w:tcPr>
            <w:tcW w:w="120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E66028" w:rsidRDefault="00E6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0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E66028" w:rsidRDefault="00E66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E66028">
        <w:trPr>
          <w:trHeight w:val="315"/>
        </w:trPr>
        <w:tc>
          <w:tcPr>
            <w:tcW w:w="2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9BC2E6"/>
            <w:tcMar>
              <w:left w:w="50" w:type="dxa"/>
            </w:tcMar>
            <w:vAlign w:val="center"/>
          </w:tcPr>
          <w:p w:rsidR="00E66028" w:rsidRDefault="00E87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2017/18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9BC2E6"/>
            <w:vAlign w:val="bottom"/>
          </w:tcPr>
          <w:p w:rsidR="00E66028" w:rsidRDefault="00E87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18.000.000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9BC2E6"/>
            <w:vAlign w:val="center"/>
          </w:tcPr>
          <w:p w:rsidR="00E66028" w:rsidRDefault="00E87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E66028" w:rsidRDefault="00E6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0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E66028" w:rsidRDefault="00E66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E66028">
        <w:trPr>
          <w:trHeight w:hRule="exact" w:val="23"/>
        </w:trPr>
        <w:tc>
          <w:tcPr>
            <w:tcW w:w="22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66028" w:rsidRDefault="00E66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201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E66028" w:rsidRDefault="00E66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E66028" w:rsidRDefault="00E66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E66028" w:rsidRDefault="00E66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E66028" w:rsidRDefault="00E66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E66028">
        <w:trPr>
          <w:trHeight w:val="330"/>
        </w:trPr>
        <w:tc>
          <w:tcPr>
            <w:tcW w:w="22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000000" w:fill="2F75B5"/>
            <w:tcMar>
              <w:left w:w="50" w:type="dxa"/>
            </w:tcMar>
            <w:vAlign w:val="center"/>
          </w:tcPr>
          <w:p w:rsidR="00E66028" w:rsidRDefault="00E875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A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AR"/>
              </w:rPr>
              <w:t>Rendimiento (kg/ha)</w:t>
            </w:r>
          </w:p>
        </w:tc>
        <w:tc>
          <w:tcPr>
            <w:tcW w:w="1201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2F75B5"/>
            <w:tcMar>
              <w:left w:w="65" w:type="dxa"/>
            </w:tcMar>
            <w:vAlign w:val="center"/>
          </w:tcPr>
          <w:p w:rsidR="00E66028" w:rsidRDefault="00E87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A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2F75B5"/>
            <w:vAlign w:val="center"/>
          </w:tcPr>
          <w:p w:rsidR="00E66028" w:rsidRDefault="00E87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A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E66028" w:rsidRDefault="00E6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E66028" w:rsidRDefault="00E66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E66028">
        <w:trPr>
          <w:trHeight w:val="300"/>
        </w:trPr>
        <w:tc>
          <w:tcPr>
            <w:tcW w:w="2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DDEBF7"/>
            <w:tcMar>
              <w:left w:w="50" w:type="dxa"/>
            </w:tcMar>
            <w:vAlign w:val="center"/>
          </w:tcPr>
          <w:p w:rsidR="00E66028" w:rsidRDefault="00E87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Prom. 5 Camp.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66028" w:rsidRDefault="00E87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2.497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E66028" w:rsidRDefault="00E87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21%</w:t>
            </w:r>
          </w:p>
        </w:tc>
        <w:tc>
          <w:tcPr>
            <w:tcW w:w="120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E66028" w:rsidRDefault="00E87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noProof/>
                <w:color w:val="00000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" behindDoc="1" locked="0" layoutInCell="1" allowOverlap="1" wp14:anchorId="43B027F9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4445</wp:posOffset>
                      </wp:positionV>
                      <wp:extent cx="1763395" cy="525145"/>
                      <wp:effectExtent l="0" t="0" r="28575" b="28575"/>
                      <wp:wrapNone/>
                      <wp:docPr id="5" name="Rectángulo redondead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2920" cy="5245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E66028" w:rsidRDefault="00E87559">
                                  <w:pPr>
                                    <w:pStyle w:val="Contenidodelmarco"/>
                                    <w:jc w:val="center"/>
                                  </w:pPr>
                                  <w:r>
                                    <w:rPr>
                                      <w:b/>
                                      <w:color w:val="FFFFFF"/>
                                    </w:rPr>
                                    <w:t>Muy buenos Rindes!</w:t>
                                  </w:r>
                                </w:p>
                              </w:txbxContent>
                            </wps:txbx>
                            <wps:bodyPr anchor="ctr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</w:p>
        </w:tc>
        <w:tc>
          <w:tcPr>
            <w:tcW w:w="120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E66028" w:rsidRDefault="00E66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E66028">
        <w:trPr>
          <w:trHeight w:val="315"/>
        </w:trPr>
        <w:tc>
          <w:tcPr>
            <w:tcW w:w="2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DDEBF7"/>
            <w:tcMar>
              <w:left w:w="50" w:type="dxa"/>
            </w:tcMar>
            <w:vAlign w:val="center"/>
          </w:tcPr>
          <w:p w:rsidR="00E66028" w:rsidRDefault="00E87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2016/17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66028" w:rsidRDefault="00E87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2.890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E66028" w:rsidRDefault="00E87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5%</w:t>
            </w:r>
          </w:p>
        </w:tc>
        <w:tc>
          <w:tcPr>
            <w:tcW w:w="120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E66028" w:rsidRDefault="00E6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0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E66028" w:rsidRDefault="00E66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E66028">
        <w:trPr>
          <w:trHeight w:val="315"/>
        </w:trPr>
        <w:tc>
          <w:tcPr>
            <w:tcW w:w="2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9BC2E6"/>
            <w:tcMar>
              <w:left w:w="50" w:type="dxa"/>
            </w:tcMar>
            <w:vAlign w:val="center"/>
          </w:tcPr>
          <w:p w:rsidR="00E66028" w:rsidRDefault="00E87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2017/18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9BC2E6"/>
            <w:vAlign w:val="bottom"/>
          </w:tcPr>
          <w:p w:rsidR="00E66028" w:rsidRDefault="00E87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3.026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9BC2E6"/>
            <w:vAlign w:val="center"/>
          </w:tcPr>
          <w:p w:rsidR="00E66028" w:rsidRDefault="00E87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E66028" w:rsidRDefault="00E6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0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E66028" w:rsidRDefault="00E66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E66028">
        <w:trPr>
          <w:trHeight w:hRule="exact" w:val="23"/>
        </w:trPr>
        <w:tc>
          <w:tcPr>
            <w:tcW w:w="22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66028" w:rsidRDefault="00E66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201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E66028" w:rsidRDefault="00E66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E66028" w:rsidRDefault="00E66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E66028" w:rsidRDefault="00E66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E66028" w:rsidRDefault="00E66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E66028">
        <w:trPr>
          <w:trHeight w:val="330"/>
        </w:trPr>
        <w:tc>
          <w:tcPr>
            <w:tcW w:w="22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000000" w:fill="2F75B5"/>
            <w:tcMar>
              <w:left w:w="50" w:type="dxa"/>
            </w:tcMar>
            <w:vAlign w:val="center"/>
          </w:tcPr>
          <w:p w:rsidR="00E66028" w:rsidRDefault="00E875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A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AR"/>
              </w:rPr>
              <w:t>Calidad</w:t>
            </w:r>
          </w:p>
        </w:tc>
        <w:tc>
          <w:tcPr>
            <w:tcW w:w="1201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2F75B5"/>
            <w:tcMar>
              <w:left w:w="65" w:type="dxa"/>
            </w:tcMar>
            <w:vAlign w:val="center"/>
          </w:tcPr>
          <w:p w:rsidR="00E66028" w:rsidRDefault="00E87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A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AR"/>
              </w:rPr>
              <w:t>Proteína</w:t>
            </w:r>
          </w:p>
        </w:tc>
        <w:tc>
          <w:tcPr>
            <w:tcW w:w="1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2F75B5"/>
            <w:vAlign w:val="center"/>
          </w:tcPr>
          <w:p w:rsidR="00E66028" w:rsidRDefault="00E87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A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2F75B5"/>
            <w:vAlign w:val="center"/>
          </w:tcPr>
          <w:p w:rsidR="00E66028" w:rsidRDefault="00E87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A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AR"/>
              </w:rPr>
              <w:t>Gluten</w:t>
            </w:r>
          </w:p>
        </w:tc>
        <w:tc>
          <w:tcPr>
            <w:tcW w:w="120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2F75B5"/>
            <w:tcMar>
              <w:left w:w="65" w:type="dxa"/>
            </w:tcMar>
            <w:vAlign w:val="center"/>
          </w:tcPr>
          <w:p w:rsidR="00E66028" w:rsidRDefault="00E87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A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AR"/>
              </w:rPr>
              <w:t> </w:t>
            </w:r>
          </w:p>
        </w:tc>
      </w:tr>
      <w:tr w:rsidR="00E66028">
        <w:trPr>
          <w:trHeight w:val="300"/>
        </w:trPr>
        <w:tc>
          <w:tcPr>
            <w:tcW w:w="225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DDEBF7"/>
            <w:tcMar>
              <w:left w:w="50" w:type="dxa"/>
            </w:tcMar>
            <w:vAlign w:val="center"/>
          </w:tcPr>
          <w:p w:rsidR="00E66028" w:rsidRDefault="00E87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Prom. Histórico</w:t>
            </w:r>
          </w:p>
        </w:tc>
        <w:tc>
          <w:tcPr>
            <w:tcW w:w="1201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E66028" w:rsidRDefault="00E87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11,1</w:t>
            </w:r>
          </w:p>
        </w:tc>
        <w:tc>
          <w:tcPr>
            <w:tcW w:w="1200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66028" w:rsidRDefault="00E87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-6%</w:t>
            </w:r>
          </w:p>
        </w:tc>
        <w:tc>
          <w:tcPr>
            <w:tcW w:w="1200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E66028" w:rsidRDefault="00E87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25,80</w:t>
            </w:r>
          </w:p>
        </w:tc>
        <w:tc>
          <w:tcPr>
            <w:tcW w:w="120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66028" w:rsidRDefault="00E87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-2,7%</w:t>
            </w:r>
          </w:p>
        </w:tc>
      </w:tr>
      <w:tr w:rsidR="00E66028">
        <w:trPr>
          <w:trHeight w:val="300"/>
        </w:trPr>
        <w:tc>
          <w:tcPr>
            <w:tcW w:w="2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DDEBF7"/>
            <w:tcMar>
              <w:left w:w="50" w:type="dxa"/>
            </w:tcMar>
            <w:vAlign w:val="center"/>
          </w:tcPr>
          <w:p w:rsidR="00E66028" w:rsidRDefault="00E87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Prom. 5 Camp.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E66028" w:rsidRDefault="00E87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10,6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66028" w:rsidRDefault="00E87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-2%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E66028" w:rsidRDefault="00E87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25,00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66028" w:rsidRDefault="00E87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0,4%</w:t>
            </w:r>
          </w:p>
        </w:tc>
      </w:tr>
      <w:tr w:rsidR="00E66028">
        <w:trPr>
          <w:trHeight w:val="300"/>
        </w:trPr>
        <w:tc>
          <w:tcPr>
            <w:tcW w:w="2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DDEBF7"/>
            <w:tcMar>
              <w:left w:w="50" w:type="dxa"/>
            </w:tcMar>
            <w:vAlign w:val="center"/>
          </w:tcPr>
          <w:p w:rsidR="00E66028" w:rsidRDefault="00E87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2016/17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E66028" w:rsidRDefault="00E87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10,1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66028" w:rsidRDefault="00E87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3%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E66028" w:rsidRDefault="00E87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24,60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66028" w:rsidRDefault="00E87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2,0%</w:t>
            </w:r>
          </w:p>
        </w:tc>
      </w:tr>
      <w:tr w:rsidR="00E66028">
        <w:trPr>
          <w:trHeight w:val="315"/>
        </w:trPr>
        <w:tc>
          <w:tcPr>
            <w:tcW w:w="22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000000" w:fill="9BC2E6"/>
            <w:tcMar>
              <w:left w:w="50" w:type="dxa"/>
            </w:tcMar>
            <w:vAlign w:val="center"/>
          </w:tcPr>
          <w:p w:rsidR="00E66028" w:rsidRDefault="00E87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2017/18</w:t>
            </w:r>
          </w:p>
        </w:tc>
        <w:tc>
          <w:tcPr>
            <w:tcW w:w="1201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9BC2E6"/>
            <w:tcMar>
              <w:left w:w="65" w:type="dxa"/>
            </w:tcMar>
            <w:vAlign w:val="bottom"/>
          </w:tcPr>
          <w:p w:rsidR="00E66028" w:rsidRDefault="00E87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10,4</w:t>
            </w:r>
          </w:p>
        </w:tc>
        <w:tc>
          <w:tcPr>
            <w:tcW w:w="120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9BC2E6"/>
            <w:tcMar>
              <w:left w:w="65" w:type="dxa"/>
            </w:tcMar>
            <w:vAlign w:val="center"/>
          </w:tcPr>
          <w:p w:rsidR="00E66028" w:rsidRDefault="00E87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9BC2E6"/>
            <w:tcMar>
              <w:left w:w="65" w:type="dxa"/>
            </w:tcMar>
            <w:vAlign w:val="bottom"/>
          </w:tcPr>
          <w:p w:rsidR="00E66028" w:rsidRDefault="00E87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25,10</w:t>
            </w:r>
          </w:p>
        </w:tc>
        <w:tc>
          <w:tcPr>
            <w:tcW w:w="1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9BC2E6"/>
            <w:vAlign w:val="bottom"/>
          </w:tcPr>
          <w:p w:rsidR="00E66028" w:rsidRDefault="00E87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</w:tr>
    </w:tbl>
    <w:p w:rsidR="00E66028" w:rsidRDefault="00E66028"/>
    <w:p w:rsidR="00E66028" w:rsidRDefault="00E87559"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39474857">
                <wp:simplePos x="0" y="0"/>
                <wp:positionH relativeFrom="column">
                  <wp:posOffset>1196340</wp:posOffset>
                </wp:positionH>
                <wp:positionV relativeFrom="paragraph">
                  <wp:posOffset>121285</wp:posOffset>
                </wp:positionV>
                <wp:extent cx="1229995" cy="487045"/>
                <wp:effectExtent l="0" t="0" r="28575" b="28575"/>
                <wp:wrapNone/>
                <wp:docPr id="7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9400" cy="486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E66028" w:rsidRDefault="00E87559">
                            <w:pPr>
                              <w:pStyle w:val="Contenidodelmarco"/>
                              <w:jc w:val="center"/>
                            </w:pPr>
                            <w:r>
                              <w:rPr>
                                <w:color w:val="FFFFFF"/>
                              </w:rPr>
                              <w:t xml:space="preserve">Límite inferior de proteína: 9,5 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E66028" w:rsidRDefault="00E66028">
      <w:pPr>
        <w:pStyle w:val="Ttulo1"/>
      </w:pPr>
    </w:p>
    <w:p w:rsidR="00E66028" w:rsidRDefault="00E87559">
      <w:pPr>
        <w:pStyle w:val="Ttulo1"/>
      </w:pPr>
      <w:r>
        <w:t>Balance del Trigo 2017/18</w:t>
      </w:r>
    </w:p>
    <w:tbl>
      <w:tblPr>
        <w:tblW w:w="5320" w:type="dxa"/>
        <w:tblInd w:w="-10" w:type="dxa"/>
        <w:tblBorders>
          <w:top w:val="single" w:sz="8" w:space="0" w:color="00000A"/>
          <w:left w:val="single" w:sz="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1201"/>
        <w:gridCol w:w="1200"/>
        <w:gridCol w:w="1199"/>
      </w:tblGrid>
      <w:tr w:rsidR="00E66028">
        <w:trPr>
          <w:trHeight w:val="315"/>
        </w:trPr>
        <w:tc>
          <w:tcPr>
            <w:tcW w:w="171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2F75B5"/>
            <w:tcMar>
              <w:left w:w="50" w:type="dxa"/>
            </w:tcMar>
            <w:vAlign w:val="center"/>
          </w:tcPr>
          <w:p w:rsidR="00E66028" w:rsidRDefault="00E87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A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201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2F75B5"/>
            <w:tcMar>
              <w:left w:w="65" w:type="dxa"/>
            </w:tcMar>
            <w:vAlign w:val="center"/>
          </w:tcPr>
          <w:p w:rsidR="00E66028" w:rsidRDefault="00E87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A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2F75B5"/>
            <w:tcMar>
              <w:left w:w="65" w:type="dxa"/>
            </w:tcMar>
            <w:vAlign w:val="center"/>
          </w:tcPr>
          <w:p w:rsidR="00E66028" w:rsidRDefault="00E87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A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AR"/>
              </w:rPr>
              <w:t>2016/17</w:t>
            </w:r>
          </w:p>
        </w:tc>
        <w:tc>
          <w:tcPr>
            <w:tcW w:w="1199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2F75B5"/>
            <w:tcMar>
              <w:left w:w="65" w:type="dxa"/>
            </w:tcMar>
            <w:vAlign w:val="center"/>
          </w:tcPr>
          <w:p w:rsidR="00E66028" w:rsidRDefault="00E87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A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AR"/>
              </w:rPr>
              <w:t>2017/18</w:t>
            </w:r>
          </w:p>
        </w:tc>
      </w:tr>
      <w:tr w:rsidR="00E66028">
        <w:trPr>
          <w:trHeight w:val="315"/>
        </w:trPr>
        <w:tc>
          <w:tcPr>
            <w:tcW w:w="171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DDEBF7"/>
            <w:tcMar>
              <w:left w:w="50" w:type="dxa"/>
            </w:tcMar>
            <w:vAlign w:val="center"/>
          </w:tcPr>
          <w:p w:rsidR="00E66028" w:rsidRDefault="00E87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Área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DEBF7"/>
            <w:tcMar>
              <w:left w:w="65" w:type="dxa"/>
            </w:tcMar>
            <w:vAlign w:val="center"/>
          </w:tcPr>
          <w:p w:rsidR="00E66028" w:rsidRDefault="00E87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has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66028" w:rsidRDefault="00E87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6.360.000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66028" w:rsidRDefault="00E87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5.950.000</w:t>
            </w:r>
          </w:p>
        </w:tc>
      </w:tr>
      <w:tr w:rsidR="00E66028">
        <w:trPr>
          <w:trHeight w:val="300"/>
        </w:trPr>
        <w:tc>
          <w:tcPr>
            <w:tcW w:w="171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DDEBF7"/>
            <w:tcMar>
              <w:left w:w="50" w:type="dxa"/>
            </w:tcMar>
            <w:vAlign w:val="center"/>
          </w:tcPr>
          <w:p w:rsidR="00E66028" w:rsidRDefault="00E87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Rendimiento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DEBF7"/>
            <w:tcMar>
              <w:left w:w="65" w:type="dxa"/>
            </w:tcMar>
            <w:vAlign w:val="center"/>
          </w:tcPr>
          <w:p w:rsidR="00E66028" w:rsidRDefault="00E87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kg/ha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66028" w:rsidRDefault="00E87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2.892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66028" w:rsidRDefault="00E87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3.025</w:t>
            </w:r>
          </w:p>
        </w:tc>
      </w:tr>
      <w:tr w:rsidR="00E66028">
        <w:trPr>
          <w:trHeight w:val="315"/>
        </w:trPr>
        <w:tc>
          <w:tcPr>
            <w:tcW w:w="17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000000" w:fill="DDEBF7"/>
            <w:tcMar>
              <w:left w:w="50" w:type="dxa"/>
            </w:tcMar>
            <w:vAlign w:val="center"/>
          </w:tcPr>
          <w:p w:rsidR="00E66028" w:rsidRDefault="00E87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Producción</w:t>
            </w:r>
          </w:p>
        </w:tc>
        <w:tc>
          <w:tcPr>
            <w:tcW w:w="1201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DDEBF7"/>
            <w:tcMar>
              <w:left w:w="65" w:type="dxa"/>
            </w:tcMar>
            <w:vAlign w:val="center"/>
          </w:tcPr>
          <w:p w:rsidR="00E66028" w:rsidRDefault="00E87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tn</w:t>
            </w:r>
          </w:p>
        </w:tc>
        <w:tc>
          <w:tcPr>
            <w:tcW w:w="120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66028" w:rsidRDefault="00E87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18.390.000</w:t>
            </w:r>
          </w:p>
        </w:tc>
        <w:tc>
          <w:tcPr>
            <w:tcW w:w="11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66028" w:rsidRDefault="00E87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18.000.000</w:t>
            </w:r>
          </w:p>
        </w:tc>
      </w:tr>
      <w:tr w:rsidR="00E66028">
        <w:trPr>
          <w:trHeight w:hRule="exact" w:val="23"/>
        </w:trPr>
        <w:tc>
          <w:tcPr>
            <w:tcW w:w="171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66028" w:rsidRDefault="00E6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E66028" w:rsidRDefault="00E6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E66028" w:rsidRDefault="00E6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E66028" w:rsidRDefault="00E6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E66028">
        <w:trPr>
          <w:trHeight w:val="300"/>
        </w:trPr>
        <w:tc>
          <w:tcPr>
            <w:tcW w:w="171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DDEBF7"/>
            <w:tcMar>
              <w:left w:w="50" w:type="dxa"/>
            </w:tcMar>
            <w:vAlign w:val="center"/>
          </w:tcPr>
          <w:p w:rsidR="00E66028" w:rsidRDefault="00E87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Carry Over</w:t>
            </w:r>
          </w:p>
        </w:tc>
        <w:tc>
          <w:tcPr>
            <w:tcW w:w="1201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DEBF7"/>
            <w:tcMar>
              <w:left w:w="65" w:type="dxa"/>
            </w:tcMar>
            <w:vAlign w:val="center"/>
          </w:tcPr>
          <w:p w:rsidR="00E66028" w:rsidRDefault="00E87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tn</w:t>
            </w:r>
          </w:p>
        </w:tc>
        <w:tc>
          <w:tcPr>
            <w:tcW w:w="1200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E66028" w:rsidRDefault="00E87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2.000.000</w:t>
            </w:r>
          </w:p>
        </w:tc>
        <w:tc>
          <w:tcPr>
            <w:tcW w:w="119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66028" w:rsidRDefault="00E87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1.190.000</w:t>
            </w:r>
          </w:p>
        </w:tc>
      </w:tr>
      <w:tr w:rsidR="00E66028">
        <w:trPr>
          <w:trHeight w:val="300"/>
        </w:trPr>
        <w:tc>
          <w:tcPr>
            <w:tcW w:w="171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DDEBF7"/>
            <w:tcMar>
              <w:left w:w="50" w:type="dxa"/>
            </w:tcMar>
            <w:vAlign w:val="center"/>
          </w:tcPr>
          <w:p w:rsidR="00E66028" w:rsidRDefault="00E87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Producción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DEBF7"/>
            <w:tcMar>
              <w:left w:w="65" w:type="dxa"/>
            </w:tcMar>
            <w:vAlign w:val="center"/>
          </w:tcPr>
          <w:p w:rsidR="00E66028" w:rsidRDefault="00E87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tn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E66028" w:rsidRDefault="00E87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18.390.000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66028" w:rsidRDefault="00E87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18.000.000</w:t>
            </w:r>
          </w:p>
        </w:tc>
      </w:tr>
      <w:tr w:rsidR="00E66028">
        <w:trPr>
          <w:trHeight w:val="315"/>
        </w:trPr>
        <w:tc>
          <w:tcPr>
            <w:tcW w:w="17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000000" w:fill="DDEBF7"/>
            <w:tcMar>
              <w:left w:w="50" w:type="dxa"/>
            </w:tcMar>
            <w:vAlign w:val="center"/>
          </w:tcPr>
          <w:p w:rsidR="00E66028" w:rsidRDefault="00E87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Oferta</w:t>
            </w:r>
          </w:p>
        </w:tc>
        <w:tc>
          <w:tcPr>
            <w:tcW w:w="1201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DDEBF7"/>
            <w:tcMar>
              <w:left w:w="65" w:type="dxa"/>
            </w:tcMar>
            <w:vAlign w:val="center"/>
          </w:tcPr>
          <w:p w:rsidR="00E66028" w:rsidRDefault="00E87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tn</w:t>
            </w:r>
          </w:p>
        </w:tc>
        <w:tc>
          <w:tcPr>
            <w:tcW w:w="120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E66028" w:rsidRDefault="00E87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20.390.000</w:t>
            </w:r>
          </w:p>
        </w:tc>
        <w:tc>
          <w:tcPr>
            <w:tcW w:w="11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66028" w:rsidRDefault="00E87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19.190.000</w:t>
            </w:r>
          </w:p>
        </w:tc>
      </w:tr>
      <w:tr w:rsidR="00E66028">
        <w:trPr>
          <w:trHeight w:hRule="exact" w:val="23"/>
        </w:trPr>
        <w:tc>
          <w:tcPr>
            <w:tcW w:w="171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66028" w:rsidRDefault="00E6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E66028" w:rsidRDefault="00E6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E66028" w:rsidRDefault="00E6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E66028" w:rsidRDefault="00E6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E66028">
        <w:trPr>
          <w:trHeight w:val="300"/>
        </w:trPr>
        <w:tc>
          <w:tcPr>
            <w:tcW w:w="171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DDEBF7"/>
            <w:tcMar>
              <w:left w:w="50" w:type="dxa"/>
            </w:tcMar>
            <w:vAlign w:val="center"/>
          </w:tcPr>
          <w:p w:rsidR="00E66028" w:rsidRDefault="00E87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lastRenderedPageBreak/>
              <w:t>Molinería</w:t>
            </w:r>
          </w:p>
        </w:tc>
        <w:tc>
          <w:tcPr>
            <w:tcW w:w="1201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DEBF7"/>
            <w:tcMar>
              <w:left w:w="65" w:type="dxa"/>
            </w:tcMar>
            <w:vAlign w:val="center"/>
          </w:tcPr>
          <w:p w:rsidR="00E66028" w:rsidRDefault="00E87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tn</w:t>
            </w:r>
          </w:p>
        </w:tc>
        <w:tc>
          <w:tcPr>
            <w:tcW w:w="1200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E66028" w:rsidRDefault="00E87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5.700.000</w:t>
            </w:r>
          </w:p>
        </w:tc>
        <w:tc>
          <w:tcPr>
            <w:tcW w:w="119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66028" w:rsidRDefault="00E87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5.500.000</w:t>
            </w:r>
          </w:p>
        </w:tc>
      </w:tr>
      <w:tr w:rsidR="00E66028">
        <w:trPr>
          <w:trHeight w:val="300"/>
        </w:trPr>
        <w:tc>
          <w:tcPr>
            <w:tcW w:w="171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DDEBF7"/>
            <w:tcMar>
              <w:left w:w="50" w:type="dxa"/>
            </w:tcMar>
            <w:vAlign w:val="center"/>
          </w:tcPr>
          <w:p w:rsidR="00E66028" w:rsidRDefault="00E87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Semilla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DEBF7"/>
            <w:tcMar>
              <w:left w:w="65" w:type="dxa"/>
            </w:tcMar>
            <w:vAlign w:val="center"/>
          </w:tcPr>
          <w:p w:rsidR="00E66028" w:rsidRDefault="00E87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tn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E66028" w:rsidRDefault="00E87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900.000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66028" w:rsidRDefault="00E87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900.000</w:t>
            </w:r>
          </w:p>
        </w:tc>
      </w:tr>
      <w:tr w:rsidR="00E66028">
        <w:trPr>
          <w:trHeight w:val="300"/>
        </w:trPr>
        <w:tc>
          <w:tcPr>
            <w:tcW w:w="171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DDEBF7"/>
            <w:tcMar>
              <w:left w:w="50" w:type="dxa"/>
            </w:tcMar>
            <w:vAlign w:val="center"/>
          </w:tcPr>
          <w:p w:rsidR="00E66028" w:rsidRDefault="00E87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Exportación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DEBF7"/>
            <w:tcMar>
              <w:left w:w="65" w:type="dxa"/>
            </w:tcMar>
            <w:vAlign w:val="center"/>
          </w:tcPr>
          <w:p w:rsidR="00E66028" w:rsidRDefault="00E87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tn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E66028" w:rsidRDefault="00E87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12.600.000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66028" w:rsidRDefault="00E87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11.500.000</w:t>
            </w:r>
          </w:p>
        </w:tc>
      </w:tr>
      <w:tr w:rsidR="00E66028">
        <w:trPr>
          <w:trHeight w:val="315"/>
        </w:trPr>
        <w:tc>
          <w:tcPr>
            <w:tcW w:w="17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000000" w:fill="DDEBF7"/>
            <w:tcMar>
              <w:left w:w="50" w:type="dxa"/>
            </w:tcMar>
            <w:vAlign w:val="center"/>
          </w:tcPr>
          <w:p w:rsidR="00E66028" w:rsidRDefault="00E87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Stock</w:t>
            </w:r>
          </w:p>
        </w:tc>
        <w:tc>
          <w:tcPr>
            <w:tcW w:w="1201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DDEBF7"/>
            <w:tcMar>
              <w:left w:w="65" w:type="dxa"/>
            </w:tcMar>
            <w:vAlign w:val="center"/>
          </w:tcPr>
          <w:p w:rsidR="00E66028" w:rsidRDefault="00E87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tn</w:t>
            </w:r>
          </w:p>
        </w:tc>
        <w:tc>
          <w:tcPr>
            <w:tcW w:w="120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E66028" w:rsidRDefault="00E87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1.190.000</w:t>
            </w:r>
          </w:p>
        </w:tc>
        <w:tc>
          <w:tcPr>
            <w:tcW w:w="11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66028" w:rsidRDefault="00E87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1.290.000</w:t>
            </w:r>
          </w:p>
        </w:tc>
      </w:tr>
      <w:tr w:rsidR="00E66028">
        <w:trPr>
          <w:trHeight w:hRule="exact" w:val="23"/>
        </w:trPr>
        <w:tc>
          <w:tcPr>
            <w:tcW w:w="171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66028" w:rsidRDefault="00E6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E66028" w:rsidRDefault="00E6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E66028" w:rsidRDefault="00E6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E66028" w:rsidRDefault="00E6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E66028">
        <w:trPr>
          <w:trHeight w:val="300"/>
        </w:trPr>
        <w:tc>
          <w:tcPr>
            <w:tcW w:w="171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DDEBF7"/>
            <w:tcMar>
              <w:left w:w="50" w:type="dxa"/>
            </w:tcMar>
            <w:vAlign w:val="center"/>
          </w:tcPr>
          <w:p w:rsidR="00E66028" w:rsidRDefault="00E87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 xml:space="preserve">DJVE </w:t>
            </w:r>
          </w:p>
        </w:tc>
        <w:tc>
          <w:tcPr>
            <w:tcW w:w="1201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DEBF7"/>
            <w:tcMar>
              <w:left w:w="65" w:type="dxa"/>
            </w:tcMar>
            <w:vAlign w:val="center"/>
          </w:tcPr>
          <w:p w:rsidR="00E66028" w:rsidRDefault="00E87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tn</w:t>
            </w:r>
          </w:p>
        </w:tc>
        <w:tc>
          <w:tcPr>
            <w:tcW w:w="1200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E66028" w:rsidRDefault="00E87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12.600.000</w:t>
            </w:r>
          </w:p>
        </w:tc>
        <w:tc>
          <w:tcPr>
            <w:tcW w:w="119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66028" w:rsidRDefault="00E87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5.180.863</w:t>
            </w:r>
          </w:p>
        </w:tc>
      </w:tr>
      <w:tr w:rsidR="00E66028">
        <w:trPr>
          <w:trHeight w:val="315"/>
        </w:trPr>
        <w:tc>
          <w:tcPr>
            <w:tcW w:w="17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000000" w:fill="DDEBF7"/>
            <w:tcMar>
              <w:left w:w="50" w:type="dxa"/>
            </w:tcMar>
            <w:vAlign w:val="center"/>
          </w:tcPr>
          <w:p w:rsidR="00E66028" w:rsidRDefault="00E87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Expo Sin DJVE</w:t>
            </w:r>
          </w:p>
        </w:tc>
        <w:tc>
          <w:tcPr>
            <w:tcW w:w="1201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DDEBF7"/>
            <w:tcMar>
              <w:left w:w="65" w:type="dxa"/>
            </w:tcMar>
            <w:vAlign w:val="center"/>
          </w:tcPr>
          <w:p w:rsidR="00E66028" w:rsidRDefault="00E87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tn</w:t>
            </w:r>
          </w:p>
        </w:tc>
        <w:tc>
          <w:tcPr>
            <w:tcW w:w="120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E66028" w:rsidRDefault="00E87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0</w:t>
            </w:r>
          </w:p>
        </w:tc>
        <w:tc>
          <w:tcPr>
            <w:tcW w:w="11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66028" w:rsidRDefault="00E87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6.319.137</w:t>
            </w:r>
          </w:p>
        </w:tc>
      </w:tr>
    </w:tbl>
    <w:p w:rsidR="00E66028" w:rsidRDefault="00E87559">
      <w:r>
        <w:t>Fuente: CONINAGRO en base a MinAgro</w:t>
      </w:r>
    </w:p>
    <w:p w:rsidR="00E66028" w:rsidRDefault="00E66028">
      <w:pPr>
        <w:rPr>
          <w:sz w:val="32"/>
          <w:szCs w:val="32"/>
        </w:rPr>
      </w:pPr>
    </w:p>
    <w:p w:rsidR="00E66028" w:rsidRDefault="00E87559">
      <w:pPr>
        <w:pStyle w:val="Ttulo2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Impacto de la suba del gasoil en el agro</w:t>
      </w:r>
    </w:p>
    <w:p w:rsidR="00E66028" w:rsidRDefault="00E66028">
      <w:pPr>
        <w:jc w:val="both"/>
        <w:rPr>
          <w:rFonts w:ascii="Bookman Old Style" w:hAnsi="Bookman Old Style"/>
          <w:b/>
          <w:sz w:val="24"/>
        </w:rPr>
      </w:pPr>
    </w:p>
    <w:p w:rsidR="00E66028" w:rsidRDefault="00E87559">
      <w:pPr>
        <w:jc w:val="both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 xml:space="preserve">La agricultura </w:t>
      </w:r>
      <w:r>
        <w:rPr>
          <w:rStyle w:val="Ancladenotaalpie"/>
          <w:rFonts w:ascii="Bookman Old Style" w:hAnsi="Bookman Old Style"/>
          <w:b/>
          <w:sz w:val="24"/>
        </w:rPr>
        <w:footnoteReference w:id="1"/>
      </w:r>
      <w:r>
        <w:rPr>
          <w:rFonts w:ascii="Bookman Old Style" w:hAnsi="Bookman Old Style"/>
          <w:b/>
          <w:sz w:val="24"/>
        </w:rPr>
        <w:t>utiliza tranqueras adentro 1.034 millones de litros de gasoil (campaña 2017/18)</w:t>
      </w:r>
      <w:r>
        <w:rPr>
          <w:rFonts w:ascii="Bookman Old Style" w:hAnsi="Bookman Old Style"/>
          <w:sz w:val="24"/>
        </w:rPr>
        <w:t xml:space="preserve">. Este dato incluye laboreos, siembra, fertilización, pulverización, cosecha, transporte de insumos y movimientos dentro del campo. </w:t>
      </w:r>
      <w:r>
        <w:rPr>
          <w:rFonts w:ascii="Bookman Old Style" w:hAnsi="Bookman Old Style"/>
          <w:b/>
          <w:sz w:val="24"/>
        </w:rPr>
        <w:t>En el actual contexto macroec</w:t>
      </w:r>
      <w:r>
        <w:rPr>
          <w:rFonts w:ascii="Bookman Old Style" w:hAnsi="Bookman Old Style"/>
          <w:b/>
          <w:sz w:val="24"/>
        </w:rPr>
        <w:t xml:space="preserve">onómico se esperan subas de precios en el gasoil. </w:t>
      </w:r>
    </w:p>
    <w:p w:rsidR="00E66028" w:rsidRDefault="00E87559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24"/>
        </w:rPr>
        <w:t>De julio de 2017 (que es cuando se han planificado las labores) a la actualidad ya se han producido aumentos, por ejemplo, en el mes de diciembre</w:t>
      </w:r>
      <w:r>
        <w:rPr>
          <w:rFonts w:ascii="Bookman Old Style" w:hAnsi="Bookman Old Style"/>
          <w:sz w:val="24"/>
        </w:rPr>
        <w:t>. Como las labores se deben realizar de igual manera, el esf</w:t>
      </w:r>
      <w:r>
        <w:rPr>
          <w:rFonts w:ascii="Bookman Old Style" w:hAnsi="Bookman Old Style"/>
          <w:sz w:val="24"/>
        </w:rPr>
        <w:t>uerzo de la producción en inversión para gasoil en las actividades agrícolas crece junto a los aumentos.</w:t>
      </w:r>
    </w:p>
    <w:p w:rsidR="00E66028" w:rsidRDefault="00E87559">
      <w:pPr>
        <w:jc w:val="both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sz w:val="24"/>
        </w:rPr>
        <w:t xml:space="preserve">En el escenario de </w:t>
      </w:r>
      <w:r>
        <w:rPr>
          <w:rFonts w:ascii="Bookman Old Style" w:hAnsi="Bookman Old Style"/>
          <w:b/>
          <w:sz w:val="24"/>
        </w:rPr>
        <w:t>mínima para el mes que viene</w:t>
      </w:r>
      <w:r>
        <w:rPr>
          <w:rFonts w:ascii="Bookman Old Style" w:hAnsi="Bookman Old Style"/>
          <w:sz w:val="24"/>
        </w:rPr>
        <w:t xml:space="preserve">, si se estima una suba del 2% en el valor del combustible, </w:t>
      </w:r>
      <w:r>
        <w:rPr>
          <w:rFonts w:ascii="Bookman Old Style" w:hAnsi="Bookman Old Style"/>
          <w:b/>
          <w:sz w:val="24"/>
        </w:rPr>
        <w:t>significaría un incremento en los costos den</w:t>
      </w:r>
      <w:r>
        <w:rPr>
          <w:rFonts w:ascii="Bookman Old Style" w:hAnsi="Bookman Old Style"/>
          <w:b/>
          <w:sz w:val="24"/>
        </w:rPr>
        <w:t>tro del campo desde julio a febrero de 3.131 millones de pesos equivalentes a 163 millones de dólares.</w:t>
      </w:r>
      <w:r>
        <w:rPr>
          <w:rStyle w:val="Ancladenotaalpie"/>
          <w:rFonts w:ascii="Bookman Old Style" w:hAnsi="Bookman Old Style"/>
          <w:b/>
          <w:sz w:val="24"/>
        </w:rPr>
        <w:footnoteReference w:id="2"/>
      </w:r>
    </w:p>
    <w:p w:rsidR="00E66028" w:rsidRDefault="00E87559">
      <w:pPr>
        <w:jc w:val="both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sz w:val="24"/>
        </w:rPr>
        <w:t xml:space="preserve">En el escenario de </w:t>
      </w:r>
      <w:r>
        <w:rPr>
          <w:rFonts w:ascii="Bookman Old Style" w:hAnsi="Bookman Old Style"/>
          <w:b/>
          <w:sz w:val="24"/>
        </w:rPr>
        <w:t>media</w:t>
      </w:r>
      <w:r>
        <w:rPr>
          <w:rFonts w:ascii="Bookman Old Style" w:hAnsi="Bookman Old Style"/>
          <w:sz w:val="24"/>
        </w:rPr>
        <w:t xml:space="preserve">, si se estima una suba del 5% en el valor del combustible, </w:t>
      </w:r>
      <w:r>
        <w:rPr>
          <w:rFonts w:ascii="Bookman Old Style" w:hAnsi="Bookman Old Style"/>
          <w:b/>
          <w:sz w:val="24"/>
        </w:rPr>
        <w:t xml:space="preserve">significaría un incremento en los costos dentro del campo desde </w:t>
      </w:r>
      <w:r>
        <w:rPr>
          <w:rFonts w:ascii="Bookman Old Style" w:hAnsi="Bookman Old Style"/>
          <w:b/>
          <w:sz w:val="24"/>
        </w:rPr>
        <w:t>julio a febrero de 3.787 millones de pesos equivalentes a 197 millones de dólares.</w:t>
      </w:r>
    </w:p>
    <w:p w:rsidR="00E66028" w:rsidRDefault="00E87559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Se debe tener en cuenta que </w:t>
      </w:r>
      <w:r>
        <w:rPr>
          <w:rFonts w:ascii="Bookman Old Style" w:hAnsi="Bookman Old Style"/>
          <w:b/>
          <w:sz w:val="24"/>
        </w:rPr>
        <w:t>el costo de combustible tiene doble impacto</w:t>
      </w:r>
      <w:r>
        <w:rPr>
          <w:rFonts w:ascii="Bookman Old Style" w:hAnsi="Bookman Old Style"/>
          <w:sz w:val="24"/>
        </w:rPr>
        <w:t>, por un lado lo afecta a los costos productivos y por el otro lado al costo de fletes de insumos y pr</w:t>
      </w:r>
      <w:r>
        <w:rPr>
          <w:rFonts w:ascii="Bookman Old Style" w:hAnsi="Bookman Old Style"/>
          <w:sz w:val="24"/>
        </w:rPr>
        <w:t xml:space="preserve">oductos. Afectando a toda la cadena productiva.  </w:t>
      </w:r>
    </w:p>
    <w:p w:rsidR="00E66028" w:rsidRDefault="00E87559">
      <w:pPr>
        <w:jc w:val="both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sz w:val="24"/>
        </w:rPr>
        <w:lastRenderedPageBreak/>
        <w:t xml:space="preserve">Si sumamos el transporte de los granos, el esfuerzo se duplica, ya que el impacto se estima en </w:t>
      </w:r>
      <w:r>
        <w:rPr>
          <w:rFonts w:ascii="Bookman Old Style" w:hAnsi="Bookman Old Style"/>
          <w:b/>
          <w:sz w:val="24"/>
        </w:rPr>
        <w:t>3.397 millones de pesos extra en el escenario de mínima y 4.109 millones de pesos extra en el escenario de medi</w:t>
      </w:r>
      <w:r>
        <w:rPr>
          <w:rFonts w:ascii="Bookman Old Style" w:hAnsi="Bookman Old Style"/>
          <w:b/>
          <w:sz w:val="24"/>
        </w:rPr>
        <w:t>a.</w:t>
      </w:r>
    </w:p>
    <w:p w:rsidR="00E66028" w:rsidRDefault="00E87559">
      <w:pPr>
        <w:jc w:val="both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En conclusión, los productores de Argentina necesitarán por las subas ya experimentadas más lo esperado en febrero entre 6.528 y 7.896 millones de pesos más para cubrir los costos tranqueras adentro y su transporte.</w:t>
      </w:r>
    </w:p>
    <w:p w:rsidR="00E66028" w:rsidRDefault="00E66028">
      <w:pPr>
        <w:jc w:val="both"/>
        <w:rPr>
          <w:b/>
          <w:sz w:val="24"/>
          <w:u w:val="single"/>
        </w:rPr>
      </w:pPr>
    </w:p>
    <w:p w:rsidR="00E66028" w:rsidRDefault="00E87559">
      <w:pPr>
        <w:spacing w:after="0"/>
        <w:jc w:val="both"/>
        <w:rPr>
          <w:sz w:val="24"/>
        </w:rPr>
      </w:pPr>
      <w:r>
        <w:rPr>
          <w:b/>
          <w:sz w:val="24"/>
        </w:rPr>
        <w:t>Estimación de Litros necesarios para</w:t>
      </w:r>
      <w:r>
        <w:rPr>
          <w:b/>
          <w:sz w:val="24"/>
        </w:rPr>
        <w:t xml:space="preserve"> agricultura tranqueras adentro</w:t>
      </w:r>
    </w:p>
    <w:p w:rsidR="00E66028" w:rsidRDefault="00E87559">
      <w:pPr>
        <w:rPr>
          <w:b/>
          <w:sz w:val="24"/>
        </w:rPr>
      </w:pPr>
      <w:r>
        <w:rPr>
          <w:noProof/>
          <w:lang w:eastAsia="es-AR"/>
        </w:rPr>
        <w:drawing>
          <wp:inline distT="0" distB="0" distL="0" distR="0">
            <wp:extent cx="3028950" cy="2524125"/>
            <wp:effectExtent l="0" t="0" r="0" b="0"/>
            <wp:docPr id="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</w:t>
      </w:r>
    </w:p>
    <w:p w:rsidR="00E66028" w:rsidRDefault="00E87559">
      <w:pPr>
        <w:rPr>
          <w:sz w:val="24"/>
        </w:rPr>
      </w:pPr>
      <w:r>
        <w:rPr>
          <w:sz w:val="24"/>
        </w:rPr>
        <w:t>Fuente: Coninagro</w:t>
      </w:r>
    </w:p>
    <w:p w:rsidR="00E66028" w:rsidRDefault="00E66028">
      <w:pPr>
        <w:rPr>
          <w:sz w:val="24"/>
        </w:rPr>
      </w:pPr>
    </w:p>
    <w:p w:rsidR="00E66028" w:rsidRDefault="00E66028"/>
    <w:sectPr w:rsidR="00E66028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559" w:rsidRDefault="00E87559">
      <w:pPr>
        <w:spacing w:after="0" w:line="240" w:lineRule="auto"/>
      </w:pPr>
      <w:r>
        <w:separator/>
      </w:r>
    </w:p>
  </w:endnote>
  <w:endnote w:type="continuationSeparator" w:id="0">
    <w:p w:rsidR="00E87559" w:rsidRDefault="00E87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559" w:rsidRDefault="00E87559">
      <w:r>
        <w:separator/>
      </w:r>
    </w:p>
  </w:footnote>
  <w:footnote w:type="continuationSeparator" w:id="0">
    <w:p w:rsidR="00E87559" w:rsidRDefault="00E87559">
      <w:r>
        <w:continuationSeparator/>
      </w:r>
    </w:p>
  </w:footnote>
  <w:footnote w:id="1">
    <w:p w:rsidR="00E66028" w:rsidRDefault="00E87559">
      <w:pPr>
        <w:pStyle w:val="Textonotapie"/>
      </w:pPr>
      <w:r>
        <w:rPr>
          <w:rStyle w:val="Refdenotaalpie"/>
        </w:rPr>
        <w:footnoteRef/>
      </w:r>
      <w:r>
        <w:rPr>
          <w:rStyle w:val="Refdenotaalpie"/>
        </w:rPr>
        <w:tab/>
      </w:r>
      <w:r>
        <w:t xml:space="preserve"> Incluye maíz, girasol, sorgo, soja, arroz, maní, trigo, avena, centeno, cebada y otros extensivos.</w:t>
      </w:r>
    </w:p>
  </w:footnote>
  <w:footnote w:id="2">
    <w:p w:rsidR="00E66028" w:rsidRDefault="00E87559">
      <w:pPr>
        <w:pStyle w:val="Textonotapie"/>
        <w:jc w:val="both"/>
      </w:pPr>
      <w:r>
        <w:rPr>
          <w:rStyle w:val="Refdenotaalpie"/>
        </w:rPr>
        <w:footnoteRef/>
      </w:r>
      <w:r>
        <w:rPr>
          <w:rStyle w:val="Refdenotaalpie"/>
        </w:rPr>
        <w:tab/>
      </w:r>
      <w:r>
        <w:t xml:space="preserve"> Si bien parte del </w:t>
      </w:r>
      <w:r>
        <w:t>combustible ya ha sido consumido con valores previos para la siembra de gruesa y cosecha de fina, esta estimación valoriza los costos de combustible de toda la campaña, lo que puede dar una magnitud del impacto en las labores de la campaña siguiente.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028"/>
    <w:rsid w:val="0025777C"/>
    <w:rsid w:val="00700E61"/>
    <w:rsid w:val="00E66028"/>
    <w:rsid w:val="00E8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4DBDC3-03F5-4950-8069-FACD00837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s-A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F93B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93B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Car">
    <w:name w:val="Título Car"/>
    <w:basedOn w:val="Fuentedeprrafopredeter"/>
    <w:link w:val="Ttulo"/>
    <w:uiPriority w:val="10"/>
    <w:qFormat/>
    <w:rsid w:val="00F93B6B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tulo1Car">
    <w:name w:val="Título 1 Car"/>
    <w:basedOn w:val="Fuentedeprrafopredeter"/>
    <w:link w:val="Ttulo1"/>
    <w:uiPriority w:val="9"/>
    <w:qFormat/>
    <w:rsid w:val="00F93B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qFormat/>
    <w:rsid w:val="00F93B6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DC4CB5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DC4CB5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101150"/>
    <w:rPr>
      <w:rFonts w:ascii="Segoe UI" w:hAnsi="Segoe UI" w:cs="Segoe UI"/>
      <w:sz w:val="18"/>
      <w:szCs w:val="18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qFormat/>
    <w:rsid w:val="0010115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qFormat/>
    <w:rsid w:val="00101150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alpie">
    <w:name w:val="Ancla de nota al pie"/>
    <w:rPr>
      <w:vertAlign w:val="superscript"/>
    </w:rPr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DC4CB5"/>
    <w:pPr>
      <w:tabs>
        <w:tab w:val="center" w:pos="4419"/>
        <w:tab w:val="right" w:pos="8838"/>
      </w:tabs>
      <w:spacing w:after="0" w:line="240" w:lineRule="auto"/>
    </w:p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tulo">
    <w:name w:val="Title"/>
    <w:basedOn w:val="Normal"/>
    <w:next w:val="Normal"/>
    <w:link w:val="TtuloCar"/>
    <w:uiPriority w:val="10"/>
    <w:qFormat/>
    <w:rsid w:val="00F93B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iedepgina">
    <w:name w:val="footer"/>
    <w:basedOn w:val="Normal"/>
    <w:link w:val="PiedepginaCar"/>
    <w:uiPriority w:val="99"/>
    <w:unhideWhenUsed/>
    <w:rsid w:val="00DC4CB5"/>
    <w:pPr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10115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</w:style>
  <w:style w:type="paragraph" w:customStyle="1" w:styleId="Contenidodelmarco">
    <w:name w:val="Contenido del marc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Naiara Fernandez Yarza</dc:creator>
  <dc:description/>
  <cp:lastModifiedBy>patricia Van ploeg</cp:lastModifiedBy>
  <cp:revision>2</cp:revision>
  <cp:lastPrinted>2018-01-29T15:06:00Z</cp:lastPrinted>
  <dcterms:created xsi:type="dcterms:W3CDTF">2018-02-01T12:26:00Z</dcterms:created>
  <dcterms:modified xsi:type="dcterms:W3CDTF">2018-02-01T12:26:00Z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